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0ADA82" w14:textId="37FA12A3" w:rsidR="005C5328" w:rsidRDefault="005C5328" w:rsidP="005C5328">
      <w:pPr>
        <w:ind w:right="-330"/>
        <w:rPr>
          <w:rFonts w:asciiTheme="minorHAnsi" w:hAnsiTheme="minorHAnsi"/>
          <w:bCs/>
        </w:rPr>
      </w:pPr>
      <w:r w:rsidRPr="0015473F">
        <w:rPr>
          <w:rFonts w:asciiTheme="minorHAnsi" w:hAnsiTheme="minorHAnsi"/>
          <w:bCs/>
        </w:rPr>
        <w:t>C</w:t>
      </w:r>
      <w:r w:rsidR="00502246">
        <w:rPr>
          <w:rFonts w:asciiTheme="minorHAnsi" w:hAnsiTheme="minorHAnsi"/>
          <w:bCs/>
        </w:rPr>
        <w:t>omunicato stampa</w:t>
      </w:r>
      <w:r w:rsidR="00766137">
        <w:rPr>
          <w:rFonts w:asciiTheme="minorHAnsi" w:hAnsiTheme="minorHAnsi"/>
          <w:bCs/>
        </w:rPr>
        <w:t xml:space="preserve"> </w:t>
      </w:r>
    </w:p>
    <w:p w14:paraId="0F28C62D" w14:textId="77777777" w:rsidR="002E1358" w:rsidRPr="0015473F" w:rsidRDefault="002E1358" w:rsidP="00B4707A">
      <w:pPr>
        <w:ind w:right="95"/>
        <w:rPr>
          <w:rFonts w:asciiTheme="minorHAnsi" w:hAnsiTheme="minorHAnsi"/>
          <w:bCs/>
        </w:rPr>
      </w:pPr>
    </w:p>
    <w:p w14:paraId="0C6BFF2D" w14:textId="66ACD017" w:rsidR="00B4707A" w:rsidRPr="00B4707A" w:rsidRDefault="007C2235" w:rsidP="00B4707A">
      <w:pPr>
        <w:tabs>
          <w:tab w:val="left" w:pos="8647"/>
        </w:tabs>
        <w:ind w:right="95"/>
        <w:jc w:val="center"/>
        <w:rPr>
          <w:b/>
          <w:bCs/>
          <w:sz w:val="32"/>
          <w:szCs w:val="32"/>
        </w:rPr>
      </w:pPr>
      <w:r w:rsidRPr="007C2235">
        <w:rPr>
          <w:b/>
          <w:bCs/>
          <w:sz w:val="32"/>
          <w:szCs w:val="32"/>
        </w:rPr>
        <w:t>XPENG mantiene il rating MSCI ESG AAA e rafforza l’impegno nella riduzione delle emissioni di carbonio e nell’IA responsabile</w:t>
      </w:r>
    </w:p>
    <w:p w14:paraId="79DF3715" w14:textId="77777777" w:rsidR="00B4707A" w:rsidRDefault="00B4707A" w:rsidP="00B4707A">
      <w:pPr>
        <w:ind w:right="95"/>
        <w:jc w:val="center"/>
        <w:rPr>
          <w:b/>
          <w:bCs/>
          <w:sz w:val="28"/>
          <w:szCs w:val="28"/>
        </w:rPr>
      </w:pPr>
    </w:p>
    <w:p w14:paraId="078F1940" w14:textId="55DB0DC4" w:rsidR="00405D99" w:rsidRDefault="00B4707A" w:rsidP="00B4707A">
      <w:pPr>
        <w:spacing w:after="120"/>
        <w:jc w:val="both"/>
        <w:rPr>
          <w:sz w:val="22"/>
          <w:szCs w:val="22"/>
        </w:rPr>
      </w:pPr>
      <w:r>
        <w:rPr>
          <w:rFonts w:asciiTheme="minorHAnsi" w:eastAsia="Yu Mincho" w:hAnsiTheme="minorHAnsi" w:cs="Arial"/>
          <w:b/>
          <w:bCs/>
          <w:kern w:val="2"/>
          <w:sz w:val="22"/>
          <w:szCs w:val="22"/>
          <w:lang w:eastAsia="en-GB"/>
          <w14:ligatures w14:val="standardContextual"/>
        </w:rPr>
        <w:t>Amsterdam</w:t>
      </w:r>
      <w:r w:rsidR="00D27614">
        <w:rPr>
          <w:rFonts w:asciiTheme="minorHAnsi" w:eastAsia="Yu Mincho" w:hAnsiTheme="minorHAnsi" w:cs="Arial"/>
          <w:b/>
          <w:bCs/>
          <w:kern w:val="2"/>
          <w:sz w:val="22"/>
          <w:szCs w:val="22"/>
          <w:lang w:eastAsia="en-GB"/>
          <w14:ligatures w14:val="standardContextual"/>
        </w:rPr>
        <w:t xml:space="preserve">, </w:t>
      </w:r>
      <w:r w:rsidR="007E37C3">
        <w:rPr>
          <w:rFonts w:asciiTheme="minorHAnsi" w:eastAsia="Yu Mincho" w:hAnsiTheme="minorHAnsi" w:cs="Arial"/>
          <w:b/>
          <w:bCs/>
          <w:kern w:val="2"/>
          <w:sz w:val="22"/>
          <w:szCs w:val="22"/>
          <w:lang w:eastAsia="en-GB"/>
          <w14:ligatures w14:val="standardContextual"/>
        </w:rPr>
        <w:t>20</w:t>
      </w:r>
      <w:r w:rsidR="007C2235">
        <w:rPr>
          <w:rFonts w:asciiTheme="minorHAnsi" w:eastAsia="Yu Mincho" w:hAnsiTheme="minorHAnsi" w:cs="Arial"/>
          <w:b/>
          <w:bCs/>
          <w:kern w:val="2"/>
          <w:sz w:val="22"/>
          <w:szCs w:val="22"/>
          <w:lang w:eastAsia="en-GB"/>
          <w14:ligatures w14:val="standardContextual"/>
        </w:rPr>
        <w:t xml:space="preserve"> aprile</w:t>
      </w:r>
      <w:r w:rsidR="00D27614">
        <w:rPr>
          <w:rFonts w:asciiTheme="minorHAnsi" w:eastAsia="Yu Mincho" w:hAnsiTheme="minorHAnsi" w:cs="Arial"/>
          <w:b/>
          <w:bCs/>
          <w:kern w:val="2"/>
          <w:sz w:val="22"/>
          <w:szCs w:val="22"/>
          <w:lang w:eastAsia="en-GB"/>
          <w14:ligatures w14:val="standardContextual"/>
        </w:rPr>
        <w:t xml:space="preserve"> 2026</w:t>
      </w:r>
      <w:r w:rsidR="00D23EBD" w:rsidRPr="004A3535">
        <w:rPr>
          <w:rFonts w:asciiTheme="minorHAnsi" w:eastAsia="Yu Mincho" w:hAnsiTheme="minorHAnsi" w:cs="Arial"/>
          <w:kern w:val="2"/>
          <w:sz w:val="22"/>
          <w:szCs w:val="22"/>
          <w:lang w:eastAsia="en-GB"/>
          <w14:ligatures w14:val="standardContextual"/>
        </w:rPr>
        <w:t xml:space="preserve"> </w:t>
      </w:r>
      <w:r w:rsidR="00E1569C" w:rsidRPr="004A3535">
        <w:rPr>
          <w:rFonts w:asciiTheme="minorHAnsi" w:eastAsia="Yu Mincho" w:hAnsiTheme="minorHAnsi" w:cs="Arial"/>
          <w:kern w:val="2"/>
          <w:sz w:val="22"/>
          <w:szCs w:val="22"/>
          <w:lang w:eastAsia="en-GB"/>
          <w14:ligatures w14:val="standardContextual"/>
        </w:rPr>
        <w:t xml:space="preserve">– </w:t>
      </w:r>
      <w:r w:rsidR="007C2235" w:rsidRPr="007C2235">
        <w:rPr>
          <w:sz w:val="22"/>
          <w:szCs w:val="22"/>
        </w:rPr>
        <w:t>XPENG ha pubblicato il proprio Report 2025 in materia di Environmental, Social and Governance (ESG), confermando per il terzo anno consecutivo il rating MSCI ESG AAA, posizionandosi tra i costruttori automobilistici con le migliori valutazioni a livello globale. Il documento illustra i progressi dell’azienda nella riduzione delle emissioni di carbonio, nella sicurezza e nell’uso circolare delle risorse, introducendo inoltre il proprio approccio alla governance dell’intelligenza artificiale, mentre allarga il proprio raggio d’azione oltre i veicoli elettrici verso un ecosistema di “physical AI” più ampio</w:t>
      </w:r>
      <w:r w:rsidRPr="00B4707A">
        <w:rPr>
          <w:sz w:val="22"/>
          <w:szCs w:val="22"/>
        </w:rPr>
        <w:t>.</w:t>
      </w:r>
    </w:p>
    <w:p w14:paraId="2AE4F9E1" w14:textId="6BDFDFDE" w:rsidR="00B4707A" w:rsidRPr="00B4707A" w:rsidRDefault="007C2235" w:rsidP="00B4707A">
      <w:pPr>
        <w:spacing w:after="120"/>
        <w:jc w:val="both"/>
        <w:rPr>
          <w:b/>
          <w:bCs/>
          <w:sz w:val="22"/>
          <w:szCs w:val="22"/>
        </w:rPr>
      </w:pPr>
      <w:r w:rsidRPr="007C2235">
        <w:rPr>
          <w:b/>
          <w:bCs/>
          <w:sz w:val="22"/>
          <w:szCs w:val="22"/>
        </w:rPr>
        <w:t>Riduzione delle emissioni lungo l’intero ciclo di vita</w:t>
      </w:r>
      <w:r w:rsidRPr="00B4707A">
        <w:rPr>
          <w:b/>
          <w:bCs/>
          <w:sz w:val="22"/>
          <w:szCs w:val="22"/>
        </w:rPr>
        <w:t xml:space="preserve"> </w:t>
      </w:r>
    </w:p>
    <w:p w14:paraId="3C77EFCE" w14:textId="77777777" w:rsidR="007C2235" w:rsidRDefault="007C2235" w:rsidP="00B4707A">
      <w:pPr>
        <w:spacing w:after="120"/>
        <w:jc w:val="both"/>
        <w:rPr>
          <w:sz w:val="22"/>
          <w:szCs w:val="22"/>
        </w:rPr>
      </w:pPr>
      <w:r w:rsidRPr="007C2235">
        <w:rPr>
          <w:sz w:val="22"/>
          <w:szCs w:val="22"/>
        </w:rPr>
        <w:t>XPENG prosegue nel percorso di riduzione del proprio impatto ambientale, supportata da un sistema di contabilizzazione dell’impronta carbonica dei propri prodotti (“product carbon footprint accounting”). Sulla base delle stime relative al 2025, la società prevede che i propri veicoli elettrici possano aver contribuito a ridurre di oltre 6 milioni di tonnellate le emissioni di carbonio lungo l’intero ciclo di vita rispetto ai veicoli a benzina, grazie ai progressi in termini di efficienza energetica, progettazione a basse emissioni e processi produttivi.</w:t>
      </w:r>
    </w:p>
    <w:p w14:paraId="640F4C49" w14:textId="77777777" w:rsidR="007C2235" w:rsidRPr="007C2235" w:rsidRDefault="007C2235" w:rsidP="007C2235">
      <w:pPr>
        <w:spacing w:after="120"/>
        <w:jc w:val="both"/>
        <w:rPr>
          <w:sz w:val="22"/>
          <w:szCs w:val="22"/>
        </w:rPr>
      </w:pPr>
      <w:r w:rsidRPr="007C2235">
        <w:rPr>
          <w:sz w:val="22"/>
          <w:szCs w:val="22"/>
        </w:rPr>
        <w:t>Nel Report ESG 2025, XPENG indica l’obiettivo di ridurre in Cina le emissioni di carbonio lungo l’intero ciclo di vita di ciascun veicolo del 9% entro il 2027 rispetto ai livelli del 2023, nonché di abbattere del 38% l’intensità carbonica delle proprie attività operative. L’azienda ha inoltre fissato un obiettivo di lungo termine raggiungere la neutralità carbonica entro il 2050, in tutte le sue operazioni e nell’intero ciclo di vita dei prodotti.</w:t>
      </w:r>
    </w:p>
    <w:p w14:paraId="2C2880F6" w14:textId="669FF1C2" w:rsidR="00B4707A" w:rsidRPr="00B4707A" w:rsidRDefault="007C2235" w:rsidP="00B4707A">
      <w:pPr>
        <w:spacing w:after="120"/>
        <w:jc w:val="both"/>
        <w:rPr>
          <w:b/>
          <w:bCs/>
          <w:sz w:val="22"/>
          <w:szCs w:val="22"/>
        </w:rPr>
      </w:pPr>
      <w:r w:rsidRPr="007C2235">
        <w:rPr>
          <w:b/>
          <w:bCs/>
          <w:sz w:val="22"/>
          <w:szCs w:val="22"/>
        </w:rPr>
        <w:t>Introduzione di un framework di governance dell’IA lungo l’intero ciclo di vita</w:t>
      </w:r>
    </w:p>
    <w:p w14:paraId="7F7BA9FB" w14:textId="1FC79E87" w:rsidR="007C2235" w:rsidRPr="007C2235" w:rsidRDefault="007C2235" w:rsidP="007C2235">
      <w:pPr>
        <w:spacing w:after="120"/>
        <w:jc w:val="both"/>
        <w:rPr>
          <w:sz w:val="22"/>
          <w:szCs w:val="22"/>
        </w:rPr>
      </w:pPr>
      <w:r w:rsidRPr="007C2235">
        <w:rPr>
          <w:sz w:val="22"/>
          <w:szCs w:val="22"/>
        </w:rPr>
        <w:t xml:space="preserve">Con l’espansione verso la guida intelligente, la robotica e la mobilità del futuro, XPENG ha introdotto un framework di governance dell’intelligenza artificiale che copre l’intero ciclo di vita. Tale modello </w:t>
      </w:r>
      <w:r w:rsidR="00E82E60">
        <w:rPr>
          <w:sz w:val="22"/>
          <w:szCs w:val="22"/>
        </w:rPr>
        <w:t>riguarda</w:t>
      </w:r>
      <w:r w:rsidRPr="007C2235">
        <w:rPr>
          <w:sz w:val="22"/>
          <w:szCs w:val="22"/>
        </w:rPr>
        <w:t xml:space="preserve"> tutte le fasi di sviluppo dell’IA, dalla ricerca e addestramento fino all’impiego e alla dismissione, affrontando temi quali sicurezza dei dati, sviluppo etico e conformità normativa.</w:t>
      </w:r>
    </w:p>
    <w:p w14:paraId="4F7F8563" w14:textId="4634F1FA" w:rsidR="00B4707A" w:rsidRPr="00B4707A" w:rsidRDefault="007C2235" w:rsidP="007C2235">
      <w:pPr>
        <w:spacing w:after="120"/>
        <w:jc w:val="both"/>
        <w:rPr>
          <w:sz w:val="22"/>
          <w:szCs w:val="22"/>
        </w:rPr>
      </w:pPr>
      <w:r w:rsidRPr="007C2235">
        <w:rPr>
          <w:sz w:val="22"/>
          <w:szCs w:val="22"/>
        </w:rPr>
        <w:t>Tutti i modelli di IA e i servizi di terze parti sono soggetti a processi di approvazione e validazione, supportati da meccanismi di monitoraggio continuo e gestione del rischio. XPENG promuove inoltre un uso responsabile dell’IA attraverso collaborazioni di settore e iniziative di sensibilizzazione pubblica</w:t>
      </w:r>
      <w:r w:rsidR="00B4707A" w:rsidRPr="00B4707A">
        <w:rPr>
          <w:sz w:val="22"/>
          <w:szCs w:val="22"/>
        </w:rPr>
        <w:t>.</w:t>
      </w:r>
    </w:p>
    <w:p w14:paraId="404B1A48" w14:textId="77777777" w:rsidR="007C2235" w:rsidRDefault="007C2235">
      <w:pPr>
        <w:rPr>
          <w:b/>
          <w:bCs/>
          <w:sz w:val="22"/>
          <w:szCs w:val="22"/>
        </w:rPr>
      </w:pPr>
      <w:r>
        <w:rPr>
          <w:b/>
          <w:bCs/>
          <w:sz w:val="22"/>
          <w:szCs w:val="22"/>
        </w:rPr>
        <w:br w:type="page"/>
      </w:r>
    </w:p>
    <w:p w14:paraId="6A2D0406" w14:textId="514ADE9D" w:rsidR="00B4707A" w:rsidRPr="00B4707A" w:rsidRDefault="007C2235" w:rsidP="00B4707A">
      <w:pPr>
        <w:spacing w:after="120"/>
        <w:jc w:val="both"/>
        <w:rPr>
          <w:b/>
          <w:bCs/>
          <w:sz w:val="22"/>
          <w:szCs w:val="22"/>
        </w:rPr>
      </w:pPr>
      <w:r w:rsidRPr="007C2235">
        <w:rPr>
          <w:b/>
          <w:bCs/>
          <w:sz w:val="22"/>
          <w:szCs w:val="22"/>
        </w:rPr>
        <w:lastRenderedPageBreak/>
        <w:t>Uso circolare delle risorse ed efficienza produttiva</w:t>
      </w:r>
    </w:p>
    <w:p w14:paraId="506391A9" w14:textId="77777777" w:rsidR="007C2235" w:rsidRPr="007C2235" w:rsidRDefault="007C2235" w:rsidP="007C2235">
      <w:pPr>
        <w:spacing w:after="120"/>
        <w:jc w:val="both"/>
        <w:rPr>
          <w:sz w:val="22"/>
          <w:szCs w:val="22"/>
        </w:rPr>
      </w:pPr>
      <w:r w:rsidRPr="007C2235">
        <w:rPr>
          <w:sz w:val="22"/>
          <w:szCs w:val="22"/>
        </w:rPr>
        <w:t>XPENG porta avanti una strategia di economia circolare applicata alle risorse, che include sistemi per la gestione delle batterie a fine vita e l’esplorazione di soluzioni di riutilizzo e applicazioni di seconda vita.</w:t>
      </w:r>
    </w:p>
    <w:p w14:paraId="16D7F210" w14:textId="77777777" w:rsidR="007C2235" w:rsidRPr="007C2235" w:rsidRDefault="007C2235" w:rsidP="007C2235">
      <w:pPr>
        <w:spacing w:after="120"/>
        <w:jc w:val="both"/>
        <w:rPr>
          <w:sz w:val="22"/>
          <w:szCs w:val="22"/>
        </w:rPr>
      </w:pPr>
      <w:r w:rsidRPr="007C2235">
        <w:rPr>
          <w:sz w:val="22"/>
          <w:szCs w:val="22"/>
        </w:rPr>
        <w:t>Il programma di riciclo dell’alluminio consente il riutilizzo completo degli scarti di produzione, riducendo il consumo di alluminio primario di circa il 40% per veicolo.</w:t>
      </w:r>
    </w:p>
    <w:p w14:paraId="714AA857" w14:textId="756E1857" w:rsidR="00B4707A" w:rsidRPr="00B4707A" w:rsidRDefault="007C2235" w:rsidP="007C2235">
      <w:pPr>
        <w:spacing w:after="120"/>
        <w:jc w:val="both"/>
        <w:rPr>
          <w:sz w:val="22"/>
          <w:szCs w:val="22"/>
        </w:rPr>
      </w:pPr>
      <w:r w:rsidRPr="007C2235">
        <w:rPr>
          <w:sz w:val="22"/>
          <w:szCs w:val="22"/>
        </w:rPr>
        <w:t>L’azienda sta inoltre migliorando l’efficienza idrica nei propri stabilimenti con un riutilizzo dell’acqua recuperata superiore al 50% e un risparmio di oltre 280.000 tonnellate di acqua nel 2025</w:t>
      </w:r>
      <w:r w:rsidR="00B4707A" w:rsidRPr="00B4707A">
        <w:rPr>
          <w:sz w:val="22"/>
          <w:szCs w:val="22"/>
        </w:rPr>
        <w:t>.</w:t>
      </w:r>
    </w:p>
    <w:p w14:paraId="582905BE" w14:textId="33CE042C" w:rsidR="00B4707A" w:rsidRPr="00B4707A" w:rsidRDefault="007C2235" w:rsidP="00B4707A">
      <w:pPr>
        <w:spacing w:after="120"/>
        <w:jc w:val="both"/>
        <w:rPr>
          <w:b/>
          <w:bCs/>
          <w:sz w:val="22"/>
          <w:szCs w:val="22"/>
        </w:rPr>
      </w:pPr>
      <w:r w:rsidRPr="007C2235">
        <w:rPr>
          <w:b/>
          <w:bCs/>
          <w:sz w:val="22"/>
          <w:szCs w:val="22"/>
        </w:rPr>
        <w:t>Sicurezza, protezione e fiducia nell’uso reale</w:t>
      </w:r>
    </w:p>
    <w:p w14:paraId="3FB39493" w14:textId="77777777" w:rsidR="007C2235" w:rsidRDefault="007C2235" w:rsidP="00B4707A">
      <w:pPr>
        <w:spacing w:after="120"/>
        <w:jc w:val="both"/>
        <w:rPr>
          <w:sz w:val="22"/>
          <w:szCs w:val="22"/>
        </w:rPr>
      </w:pPr>
      <w:r w:rsidRPr="007C2235">
        <w:rPr>
          <w:sz w:val="22"/>
          <w:szCs w:val="22"/>
        </w:rPr>
        <w:t>XPENG continua a rafforzare la sicurezza e la fiducia nei propri veicoli integrando tecnologie intelligenti e progettazione ingegneristica. I sistemi di assistenza alla guida, tra cui la frenata automatica di emergenza (Automatic Emergency Braking) e la sterzata automatica di emergenza (Automatic Emergency Steering), consentono di rielevare i rischi in modo proattivo e di intervenire tempestivamente, contribuendo a evitare oltre 376.000 potenziali situazioni di collisione, secondo i dati interni del sistema</w:t>
      </w:r>
      <w:r>
        <w:rPr>
          <w:sz w:val="22"/>
          <w:szCs w:val="22"/>
        </w:rPr>
        <w:t>.</w:t>
      </w:r>
    </w:p>
    <w:p w14:paraId="500FAFC7" w14:textId="6757AC95" w:rsidR="00B4707A" w:rsidRPr="00B4707A" w:rsidRDefault="007C2235" w:rsidP="00B4707A">
      <w:pPr>
        <w:spacing w:after="120"/>
        <w:jc w:val="both"/>
        <w:rPr>
          <w:sz w:val="22"/>
          <w:szCs w:val="22"/>
        </w:rPr>
      </w:pPr>
      <w:r w:rsidRPr="007C2235">
        <w:rPr>
          <w:sz w:val="22"/>
          <w:szCs w:val="22"/>
        </w:rPr>
        <w:t>L’azienda ha inoltre sviluppato un sistema completo di sicurezza passiva, che include una struttura della scocca ad altissima resistenza, una protezione multilivello degli occupanti e un’architettura di sicurezza della batteria a tre livelli. La protezione dei dati personali e la sicurezza informatica restano elementi cardine nella progettazione dei prodotti, i principi di "privacy by design" sono sostenuti da valutazioni d'impatto sulla protezione dei dati e dal rispetto delle normative internazionali, tra cui il GDPR</w:t>
      </w:r>
      <w:r w:rsidR="00B4707A" w:rsidRPr="00B4707A">
        <w:rPr>
          <w:sz w:val="22"/>
          <w:szCs w:val="22"/>
        </w:rPr>
        <w:t>.</w:t>
      </w:r>
    </w:p>
    <w:p w14:paraId="1777A38B" w14:textId="77777777" w:rsidR="007C2235" w:rsidRDefault="007C2235" w:rsidP="007C2235">
      <w:pPr>
        <w:spacing w:after="120"/>
        <w:rPr>
          <w:b/>
          <w:bCs/>
          <w:sz w:val="22"/>
          <w:szCs w:val="22"/>
        </w:rPr>
      </w:pPr>
      <w:r w:rsidRPr="007C2235">
        <w:rPr>
          <w:b/>
          <w:bCs/>
          <w:sz w:val="22"/>
          <w:szCs w:val="22"/>
        </w:rPr>
        <w:t>Responsabilità lungo la catena del valore e impatto sociale</w:t>
      </w:r>
    </w:p>
    <w:p w14:paraId="11B26421" w14:textId="15BB53F8" w:rsidR="007C2235" w:rsidRPr="007C2235" w:rsidRDefault="007C2235" w:rsidP="007C2235">
      <w:pPr>
        <w:spacing w:after="120"/>
        <w:jc w:val="both"/>
        <w:rPr>
          <w:sz w:val="22"/>
          <w:szCs w:val="22"/>
        </w:rPr>
      </w:pPr>
      <w:r w:rsidRPr="007C2235">
        <w:rPr>
          <w:sz w:val="22"/>
          <w:szCs w:val="22"/>
        </w:rPr>
        <w:t>XPENG continua a rafforzare la sostenibilità lungo la propria catena del valore, richiedendo a tutti i fornitori di sottoscrivere la propria Lettera di Impegno per l’Integrità e ampliando i sistemi di gestione dei fornitori orientati ai criteri ESG, con oltre 800 sessioni di formazione e il potenziamento delle attività di audit</w:t>
      </w:r>
      <w:r w:rsidR="00E82E60">
        <w:rPr>
          <w:sz w:val="22"/>
          <w:szCs w:val="22"/>
        </w:rPr>
        <w:t xml:space="preserve">. </w:t>
      </w:r>
      <w:r w:rsidRPr="007C2235">
        <w:rPr>
          <w:sz w:val="22"/>
          <w:szCs w:val="22"/>
        </w:rPr>
        <w:t>Nel 2025, oltre il 97% dei dipendenti ha partecipato a programmi formativi, a conferma del continuo investimento nello sviluppo del personale.</w:t>
      </w:r>
    </w:p>
    <w:p w14:paraId="499C60D0" w14:textId="03B7F93E" w:rsidR="00B4707A" w:rsidRPr="00C4040A" w:rsidRDefault="007C2235" w:rsidP="007C2235">
      <w:pPr>
        <w:spacing w:after="120"/>
        <w:jc w:val="both"/>
        <w:rPr>
          <w:sz w:val="22"/>
          <w:szCs w:val="22"/>
        </w:rPr>
      </w:pPr>
      <w:r w:rsidRPr="007C2235">
        <w:rPr>
          <w:sz w:val="22"/>
          <w:szCs w:val="22"/>
        </w:rPr>
        <w:t>Al di fuori delle proprie attività operative, XPENG promuove iniziative di utilità sociale attraverso la propria fondazione e la rete di volontariato. Nel 2025 l’azienda ha istituito un piano di risposta alle emergenze per grandi calamità, fornendo supporto in occasione di eventi quali l’incendio di Tai Po a Hong Kong. A fine anno, i contributi complessivi destinati a iniziative sociali e benefiche hanno superato i 34,88 milioni di RMB.</w:t>
      </w:r>
    </w:p>
    <w:p w14:paraId="2E1A39E2" w14:textId="36984275" w:rsidR="00A75103" w:rsidRDefault="00B86424" w:rsidP="00405D99">
      <w:pPr>
        <w:spacing w:line="259" w:lineRule="auto"/>
        <w:jc w:val="center"/>
        <w:rPr>
          <w:rFonts w:asciiTheme="minorHAnsi" w:hAnsiTheme="minorHAnsi"/>
          <w:bCs/>
          <w:sz w:val="22"/>
          <w:szCs w:val="22"/>
        </w:rPr>
      </w:pPr>
      <w:r w:rsidRPr="0015473F">
        <w:rPr>
          <w:rFonts w:asciiTheme="minorHAnsi" w:hAnsiTheme="minorHAnsi"/>
          <w:bCs/>
          <w:sz w:val="22"/>
          <w:szCs w:val="22"/>
        </w:rPr>
        <w:t>–</w:t>
      </w:r>
      <w:r w:rsidR="00AD0A11" w:rsidRPr="0015473F">
        <w:rPr>
          <w:rFonts w:asciiTheme="minorHAnsi" w:hAnsiTheme="minorHAnsi"/>
          <w:bCs/>
          <w:sz w:val="22"/>
          <w:szCs w:val="22"/>
        </w:rPr>
        <w:t xml:space="preserve"> FINE –</w:t>
      </w:r>
    </w:p>
    <w:p w14:paraId="53D56ED9" w14:textId="77777777" w:rsidR="007A4029" w:rsidRDefault="007A4029" w:rsidP="00B86424">
      <w:pPr>
        <w:rPr>
          <w:rFonts w:asciiTheme="minorHAnsi" w:hAnsiTheme="minorHAnsi"/>
          <w:b/>
          <w:sz w:val="20"/>
          <w:szCs w:val="20"/>
        </w:rPr>
      </w:pPr>
    </w:p>
    <w:p w14:paraId="13A6EB00" w14:textId="5DB7160A" w:rsidR="001F7EC4" w:rsidRPr="005F27E7" w:rsidRDefault="00B86424" w:rsidP="00B86424">
      <w:pPr>
        <w:rPr>
          <w:rFonts w:asciiTheme="minorHAnsi" w:hAnsiTheme="minorHAnsi"/>
          <w:b/>
          <w:sz w:val="20"/>
          <w:szCs w:val="20"/>
        </w:rPr>
      </w:pPr>
      <w:r w:rsidRPr="005F27E7">
        <w:rPr>
          <w:rFonts w:asciiTheme="minorHAnsi" w:hAnsiTheme="minorHAnsi"/>
          <w:b/>
          <w:sz w:val="20"/>
          <w:szCs w:val="20"/>
        </w:rPr>
        <w:t>Note per i redattori</w:t>
      </w:r>
    </w:p>
    <w:p w14:paraId="002D2928" w14:textId="31FD6001"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XPENG</w:t>
      </w:r>
    </w:p>
    <w:p w14:paraId="444ABABE" w14:textId="14329E20"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lastRenderedPageBreak/>
        <w:t xml:space="preserve">Fondata nel 2014, </w:t>
      </w:r>
      <w:r w:rsidR="006824D3">
        <w:rPr>
          <w:rFonts w:asciiTheme="minorHAnsi" w:hAnsiTheme="minorHAnsi"/>
          <w:sz w:val="20"/>
          <w:szCs w:val="20"/>
        </w:rPr>
        <w:t>XPENG</w:t>
      </w:r>
      <w:r w:rsidRPr="0015473F">
        <w:rPr>
          <w:rFonts w:asciiTheme="minorHAnsi" w:hAnsiTheme="minorHAnsi"/>
          <w:sz w:val="20"/>
          <w:szCs w:val="20"/>
        </w:rPr>
        <w:t xml:space="preserve"> è un'azienda cinese leader nella mobilità guidata dall'IA che progetta, sviluppa, produce e commercializza veicoli elettrici intelligenti, rivolgendosi a una base crescente di consumatori esperti di tecnologia. Con il rapido progresso dell'IA, </w:t>
      </w:r>
      <w:r w:rsidR="006824D3">
        <w:rPr>
          <w:rFonts w:asciiTheme="minorHAnsi" w:hAnsiTheme="minorHAnsi"/>
          <w:sz w:val="20"/>
          <w:szCs w:val="20"/>
        </w:rPr>
        <w:t>XPENG</w:t>
      </w:r>
      <w:r w:rsidRPr="0015473F">
        <w:rPr>
          <w:rFonts w:asciiTheme="minorHAnsi" w:hAnsiTheme="minorHAnsi"/>
          <w:sz w:val="20"/>
          <w:szCs w:val="20"/>
        </w:rPr>
        <w:t xml:space="preserve"> aspira a diventare un leader globale nella mobilità IA, con la missione di guidare la rivoluzione dei veicoli elettrici intelligenti attraverso tecnologia all'avanguardia, plasmando il futuro della mobilità. Per migliorare l'esperienza del cliente, </w:t>
      </w:r>
      <w:r w:rsidR="006824D3">
        <w:rPr>
          <w:rFonts w:asciiTheme="minorHAnsi" w:hAnsiTheme="minorHAnsi"/>
          <w:sz w:val="20"/>
          <w:szCs w:val="20"/>
        </w:rPr>
        <w:t>XPENG</w:t>
      </w:r>
      <w:r w:rsidRPr="0015473F">
        <w:rPr>
          <w:rFonts w:asciiTheme="minorHAnsi" w:hAnsiTheme="minorHAnsi"/>
          <w:sz w:val="20"/>
          <w:szCs w:val="20"/>
        </w:rPr>
        <w:t xml:space="preserve"> sviluppa internamente la sua tecnologia avanzata di assistenza alla guida (ADAS) e il sistema operativo intelligente in-car, insieme ai sistemi fondamentali del veicolo come il gruppo propulsore e l'architettura elettrica/elettronica (EEA). Con sede a Guangzhou, Cina, </w:t>
      </w:r>
      <w:r w:rsidR="006824D3">
        <w:rPr>
          <w:rFonts w:asciiTheme="minorHAnsi" w:hAnsiTheme="minorHAnsi"/>
          <w:sz w:val="20"/>
          <w:szCs w:val="20"/>
        </w:rPr>
        <w:t>XPENG</w:t>
      </w:r>
      <w:r w:rsidRPr="0015473F">
        <w:rPr>
          <w:rFonts w:asciiTheme="minorHAnsi" w:hAnsiTheme="minorHAnsi"/>
          <w:sz w:val="20"/>
          <w:szCs w:val="20"/>
        </w:rPr>
        <w:t xml:space="preserve"> opera anche in uffici chiave a Pechino, Shanghai, Silicon Valley e Amsterdam. I suoi veicoli elettrici intelligenti sono principalmente prodotti nei suoi stabilimenti di Zhaoqing e Guangzhou, nella provincia di Guangdong. </w:t>
      </w:r>
      <w:r w:rsidR="006824D3">
        <w:rPr>
          <w:rFonts w:asciiTheme="minorHAnsi" w:hAnsiTheme="minorHAnsi"/>
          <w:sz w:val="20"/>
          <w:szCs w:val="20"/>
        </w:rPr>
        <w:t>XPENG</w:t>
      </w:r>
      <w:r w:rsidRPr="0015473F">
        <w:rPr>
          <w:rFonts w:asciiTheme="minorHAnsi" w:hAnsiTheme="minorHAnsi"/>
          <w:sz w:val="20"/>
          <w:szCs w:val="20"/>
        </w:rPr>
        <w:t xml:space="preserve"> è quotata alla Borsa di New York (NYSE: XPEV) e alla Borsa di Hong Kong (HKEX: 9868). </w:t>
      </w:r>
    </w:p>
    <w:p w14:paraId="01EAE1CB" w14:textId="17782416"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t xml:space="preserve">Per ulteriori informazioni, visita </w:t>
      </w:r>
      <w:hyperlink r:id="rId12">
        <w:r w:rsidR="006824D3">
          <w:rPr>
            <w:rFonts w:asciiTheme="minorHAnsi" w:hAnsiTheme="minorHAnsi"/>
            <w:color w:val="467886"/>
            <w:sz w:val="20"/>
            <w:szCs w:val="20"/>
            <w:u w:val="single"/>
          </w:rPr>
          <w:t>XPENG</w:t>
        </w:r>
        <w:r w:rsidR="00A75103" w:rsidRPr="0015473F">
          <w:rPr>
            <w:rFonts w:asciiTheme="minorHAnsi" w:hAnsiTheme="minorHAnsi"/>
            <w:color w:val="467886"/>
            <w:sz w:val="20"/>
            <w:szCs w:val="20"/>
            <w:u w:val="single"/>
          </w:rPr>
          <w:t>.com</w:t>
        </w:r>
      </w:hyperlink>
      <w:r w:rsidR="00A143F7">
        <w:t>.</w:t>
      </w:r>
    </w:p>
    <w:p w14:paraId="2AE4E943" w14:textId="69354B32"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ATFLOW</w:t>
      </w:r>
    </w:p>
    <w:p w14:paraId="2AD571E1" w14:textId="365CA551" w:rsidR="00A75103" w:rsidRDefault="006824D3">
      <w:pPr>
        <w:spacing w:line="259" w:lineRule="auto"/>
        <w:jc w:val="both"/>
        <w:rPr>
          <w:rFonts w:asciiTheme="minorHAnsi" w:hAnsiTheme="minorHAnsi"/>
          <w:sz w:val="20"/>
          <w:szCs w:val="20"/>
        </w:rPr>
      </w:pPr>
      <w:r>
        <w:rPr>
          <w:rFonts w:asciiTheme="minorHAnsi" w:hAnsiTheme="minorHAnsi"/>
          <w:sz w:val="20"/>
          <w:szCs w:val="20"/>
        </w:rPr>
        <w:t xml:space="preserve">ATFlow </w:t>
      </w:r>
      <w:r w:rsidR="00AD0A11" w:rsidRPr="0015473F">
        <w:rPr>
          <w:rFonts w:asciiTheme="minorHAnsi" w:hAnsiTheme="minorHAnsi"/>
          <w:sz w:val="20"/>
          <w:szCs w:val="20"/>
        </w:rPr>
        <w:t xml:space="preserve">è una società italiana specializzata nell'importazione e distribuzione di brand automobilistici all'avanguardia, con un focus sulla mobilità sostenibile e ad alto contenuto tecnologico. </w:t>
      </w:r>
      <w:r>
        <w:rPr>
          <w:rFonts w:asciiTheme="minorHAnsi" w:hAnsiTheme="minorHAnsi"/>
          <w:sz w:val="20"/>
          <w:szCs w:val="20"/>
        </w:rPr>
        <w:t>ATFLOW</w:t>
      </w:r>
      <w:r w:rsidR="00AD0A11" w:rsidRPr="0015473F">
        <w:rPr>
          <w:rFonts w:asciiTheme="minorHAnsi" w:hAnsiTheme="minorHAnsi"/>
          <w:sz w:val="20"/>
          <w:szCs w:val="20"/>
        </w:rPr>
        <w:t xml:space="preserve">, importatore e distributore in esclusiva per il mercato italiano del marchio </w:t>
      </w:r>
      <w:r>
        <w:rPr>
          <w:rFonts w:asciiTheme="minorHAnsi" w:hAnsiTheme="minorHAnsi"/>
          <w:sz w:val="20"/>
          <w:szCs w:val="20"/>
        </w:rPr>
        <w:t>XPENG</w:t>
      </w:r>
      <w:r w:rsidR="00AD0A11" w:rsidRPr="0015473F">
        <w:rPr>
          <w:rFonts w:asciiTheme="minorHAnsi" w:hAnsiTheme="minorHAnsi"/>
          <w:sz w:val="20"/>
          <w:szCs w:val="20"/>
        </w:rPr>
        <w:t xml:space="preserve">, si distingue nel panorama nazionale per la sua capacità di integrare competenza tecnica consolidata e soluzioni innovative, grazie a una profonda conoscenza del mercato automobilistico e delle sue evoluzioni. </w:t>
      </w:r>
    </w:p>
    <w:p w14:paraId="3DE824CB" w14:textId="3544A037" w:rsidR="00A143F7" w:rsidRPr="0015473F" w:rsidRDefault="00A143F7">
      <w:pPr>
        <w:spacing w:line="259" w:lineRule="auto"/>
        <w:jc w:val="both"/>
        <w:rPr>
          <w:rFonts w:asciiTheme="minorHAnsi" w:hAnsiTheme="minorHAnsi"/>
          <w:sz w:val="20"/>
          <w:szCs w:val="20"/>
        </w:rPr>
      </w:pPr>
      <w:r>
        <w:rPr>
          <w:rFonts w:asciiTheme="minorHAnsi" w:hAnsiTheme="minorHAnsi"/>
          <w:sz w:val="20"/>
          <w:szCs w:val="20"/>
        </w:rPr>
        <w:t xml:space="preserve">Per ulteriori informazioni: </w:t>
      </w:r>
      <w:hyperlink r:id="rId13" w:history="1">
        <w:r w:rsidRPr="00A143F7">
          <w:rPr>
            <w:rStyle w:val="Collegamentoipertestuale"/>
            <w:rFonts w:asciiTheme="minorHAnsi" w:hAnsiTheme="minorHAnsi"/>
            <w:sz w:val="20"/>
            <w:szCs w:val="20"/>
          </w:rPr>
          <w:t>atflow.it</w:t>
        </w:r>
      </w:hyperlink>
      <w:r>
        <w:rPr>
          <w:rFonts w:asciiTheme="minorHAnsi" w:hAnsiTheme="minorHAnsi"/>
          <w:sz w:val="20"/>
          <w:szCs w:val="20"/>
        </w:rPr>
        <w:t xml:space="preserve"> | </w:t>
      </w:r>
      <w:hyperlink r:id="rId14" w:history="1">
        <w:r w:rsidRPr="00A143F7">
          <w:rPr>
            <w:rStyle w:val="Collegamentoipertestuale"/>
            <w:rFonts w:asciiTheme="minorHAnsi" w:hAnsiTheme="minorHAnsi"/>
            <w:sz w:val="20"/>
            <w:szCs w:val="20"/>
          </w:rPr>
          <w:t>xpengitalia.it</w:t>
        </w:r>
      </w:hyperlink>
      <w:r>
        <w:rPr>
          <w:rFonts w:asciiTheme="minorHAnsi" w:hAnsiTheme="minorHAnsi"/>
          <w:sz w:val="20"/>
          <w:szCs w:val="20"/>
        </w:rPr>
        <w:t>.</w:t>
      </w:r>
    </w:p>
    <w:p w14:paraId="4E657519" w14:textId="77777777" w:rsidR="00A143F7" w:rsidRDefault="00A143F7" w:rsidP="00B86424">
      <w:pPr>
        <w:jc w:val="both"/>
        <w:rPr>
          <w:rFonts w:asciiTheme="minorHAnsi" w:hAnsiTheme="minorHAnsi"/>
          <w:b/>
          <w:bCs/>
          <w:sz w:val="18"/>
          <w:szCs w:val="18"/>
        </w:rPr>
      </w:pPr>
    </w:p>
    <w:p w14:paraId="1738422C" w14:textId="770D2586"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5"/>
          <w:footerReference w:type="even" r:id="rId16"/>
          <w:footerReference w:type="default" r:id="rId17"/>
          <w:pgSz w:w="11906" w:h="16838"/>
          <w:pgMar w:top="1985" w:right="1440" w:bottom="1440" w:left="1440" w:header="720" w:footer="720" w:gutter="0"/>
          <w:pgNumType w:start="1"/>
          <w:cols w:space="720"/>
        </w:sectPr>
      </w:pPr>
    </w:p>
    <w:p w14:paraId="644F5FFC" w14:textId="61FFE146" w:rsidR="00B86424" w:rsidRPr="00430B79" w:rsidRDefault="00B86424" w:rsidP="00B86424">
      <w:pPr>
        <w:spacing w:line="240" w:lineRule="auto"/>
        <w:rPr>
          <w:rFonts w:asciiTheme="minorHAnsi" w:hAnsiTheme="minorHAnsi"/>
          <w:sz w:val="18"/>
          <w:szCs w:val="18"/>
          <w:lang w:val="en-US"/>
        </w:rPr>
      </w:pPr>
      <w:r w:rsidRPr="0015473F">
        <w:rPr>
          <w:rFonts w:asciiTheme="minorHAnsi" w:hAnsiTheme="minorHAnsi"/>
          <w:sz w:val="18"/>
          <w:szCs w:val="18"/>
        </w:rPr>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 xml:space="preserve">Tel. </w:t>
      </w:r>
      <w:r w:rsidRPr="00430B79">
        <w:rPr>
          <w:rFonts w:asciiTheme="minorHAnsi" w:hAnsiTheme="minorHAnsi"/>
          <w:sz w:val="18"/>
          <w:szCs w:val="18"/>
          <w:lang w:val="en-US"/>
        </w:rPr>
        <w:t>+39 011 0161111</w:t>
      </w:r>
      <w:r w:rsidRPr="00430B79">
        <w:rPr>
          <w:rFonts w:asciiTheme="minorHAnsi" w:hAnsiTheme="minorHAnsi"/>
          <w:sz w:val="18"/>
          <w:szCs w:val="18"/>
          <w:lang w:val="en-US"/>
        </w:rPr>
        <w:br/>
      </w:r>
      <w:hyperlink r:id="rId18" w:history="1">
        <w:r w:rsidR="006824D3" w:rsidRPr="00430B79">
          <w:rPr>
            <w:rStyle w:val="Collegamentoipertestuale"/>
            <w:rFonts w:asciiTheme="minorHAnsi" w:hAnsiTheme="minorHAnsi"/>
            <w:sz w:val="18"/>
            <w:szCs w:val="18"/>
            <w:lang w:val="en-US"/>
          </w:rPr>
          <w:t>XPENG</w:t>
        </w:r>
        <w:r w:rsidRPr="00430B79">
          <w:rPr>
            <w:rStyle w:val="Collegamentoipertestuale"/>
            <w:rFonts w:asciiTheme="minorHAnsi" w:hAnsiTheme="minorHAnsi"/>
            <w:sz w:val="18"/>
            <w:szCs w:val="18"/>
            <w:lang w:val="en-US"/>
          </w:rPr>
          <w:t>@anicecommunication.com</w:t>
        </w:r>
      </w:hyperlink>
      <w:r w:rsidR="00430B79" w:rsidRPr="00430B79">
        <w:rPr>
          <w:lang w:val="en-US"/>
        </w:rPr>
        <w:br/>
      </w:r>
      <w:hyperlink r:id="rId19" w:history="1">
        <w:r w:rsidR="00430B79" w:rsidRPr="00430B79">
          <w:rPr>
            <w:rStyle w:val="Collegamentoipertestuale"/>
            <w:rFonts w:asciiTheme="minorHAnsi" w:hAnsiTheme="minorHAnsi"/>
            <w:sz w:val="18"/>
            <w:szCs w:val="18"/>
            <w:lang w:val="en-US"/>
          </w:rPr>
          <w:t>Press room X</w:t>
        </w:r>
        <w:r w:rsidR="00430B79">
          <w:rPr>
            <w:rStyle w:val="Collegamentoipertestuale"/>
            <w:rFonts w:asciiTheme="minorHAnsi" w:hAnsiTheme="minorHAnsi"/>
            <w:sz w:val="18"/>
            <w:szCs w:val="18"/>
            <w:lang w:val="en-US"/>
          </w:rPr>
          <w:t>PENG</w:t>
        </w:r>
        <w:r w:rsidR="00430B79" w:rsidRPr="00430B79">
          <w:rPr>
            <w:rStyle w:val="Collegamentoipertestuale"/>
            <w:rFonts w:asciiTheme="minorHAnsi" w:hAnsiTheme="minorHAnsi"/>
            <w:sz w:val="18"/>
            <w:szCs w:val="18"/>
            <w:lang w:val="en-US"/>
          </w:rPr>
          <w:t xml:space="preserve"> Italia &gt;</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20"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21"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B86424">
      <w:pPr>
        <w:jc w:val="cente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68FE0C4A" w14:textId="77777777" w:rsidR="00A75103" w:rsidRPr="0015473F" w:rsidRDefault="00A75103" w:rsidP="00B86424">
      <w:pPr>
        <w:spacing w:after="120" w:line="240" w:lineRule="auto"/>
        <w:rPr>
          <w:rFonts w:asciiTheme="minorHAnsi" w:hAnsiTheme="minorHAnsi"/>
          <w:b/>
          <w:sz w:val="20"/>
          <w:szCs w:val="20"/>
        </w:rPr>
      </w:pPr>
    </w:p>
    <w:sectPr w:rsidR="00A75103"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DABA24" w14:textId="77777777" w:rsidR="001719F3" w:rsidRDefault="001719F3">
      <w:pPr>
        <w:spacing w:after="0" w:line="240" w:lineRule="auto"/>
      </w:pPr>
      <w:r>
        <w:separator/>
      </w:r>
    </w:p>
  </w:endnote>
  <w:endnote w:type="continuationSeparator" w:id="0">
    <w:p w14:paraId="413393B3" w14:textId="77777777" w:rsidR="001719F3" w:rsidRDefault="001719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0000000000000000000"/>
    <w:charset w:val="00"/>
    <w:family w:val="auto"/>
    <w:pitch w:val="variable"/>
    <w:sig w:usb0="00000003" w:usb1="0200E4B4" w:usb2="00000000" w:usb3="00000000" w:csb0="00000001" w:csb1="00000000"/>
    <w:embedRegular r:id="rId1" w:fontKey="{E588DABA-4480-44F2-8438-E7A40978D3A8}"/>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00180F5A-636B-46D6-A1F2-4EB043117FAD}"/>
    <w:embedBold r:id="rId3" w:fontKey="{946BECD5-F943-4A21-B26F-25CC053C1D4D}"/>
    <w:embedItalic r:id="rId4" w:fontKey="{0B96490B-FF55-4C13-8D5C-51B4026D4BD2}"/>
  </w:font>
  <w:font w:name="Aptos Display">
    <w:charset w:val="00"/>
    <w:family w:val="swiss"/>
    <w:pitch w:val="variable"/>
    <w:sig w:usb0="20000287" w:usb1="00000003" w:usb2="00000000" w:usb3="00000000" w:csb0="0000019F" w:csb1="00000000"/>
    <w:embedRegular r:id="rId5" w:fontKey="{B3C478F8-6B25-4ADC-8DC4-F4953F46BD14}"/>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6" w:fontKey="{9D7BBF03-89C7-4F03-81A9-035E14BDF97C}"/>
  </w:font>
  <w:font w:name="Calibri">
    <w:panose1 w:val="020F0502020204030204"/>
    <w:charset w:val="00"/>
    <w:family w:val="swiss"/>
    <w:pitch w:val="variable"/>
    <w:sig w:usb0="E4002EFF" w:usb1="C200247B" w:usb2="00000009" w:usb3="00000000" w:csb0="000001FF" w:csb1="00000000"/>
    <w:embedRegular r:id="rId7" w:fontKey="{92B9F354-B42E-4BAA-B4F7-78D451F89FF9}"/>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06F9CE" w14:textId="77777777" w:rsidR="001719F3" w:rsidRDefault="001719F3">
      <w:pPr>
        <w:spacing w:after="0" w:line="240" w:lineRule="auto"/>
      </w:pPr>
      <w:r>
        <w:separator/>
      </w:r>
    </w:p>
  </w:footnote>
  <w:footnote w:type="continuationSeparator" w:id="0">
    <w:p w14:paraId="4E3A5EF7" w14:textId="77777777" w:rsidR="001719F3" w:rsidRDefault="001719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0A59F7B0">
          <wp:extent cx="2471431" cy="319266"/>
          <wp:effectExtent l="0" t="0" r="0" b="0"/>
          <wp:docPr id="1332414434"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2471431" cy="319266"/>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002573B"/>
    <w:multiLevelType w:val="hybridMultilevel"/>
    <w:tmpl w:val="63B201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6"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7" w15:restartNumberingAfterBreak="0">
    <w:nsid w:val="1EC10B74"/>
    <w:multiLevelType w:val="hybridMultilevel"/>
    <w:tmpl w:val="C2720ABC"/>
    <w:lvl w:ilvl="0" w:tplc="E87C6A42">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9" w15:restartNumberingAfterBreak="0">
    <w:nsid w:val="2919553A"/>
    <w:multiLevelType w:val="multilevel"/>
    <w:tmpl w:val="B0B22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C3E3B45"/>
    <w:multiLevelType w:val="hybridMultilevel"/>
    <w:tmpl w:val="498876D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68247360"/>
    <w:multiLevelType w:val="multilevel"/>
    <w:tmpl w:val="E794D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7B53EC8"/>
    <w:multiLevelType w:val="multilevel"/>
    <w:tmpl w:val="7B7E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C157DEB"/>
    <w:multiLevelType w:val="multilevel"/>
    <w:tmpl w:val="CA221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D462811"/>
    <w:multiLevelType w:val="hybridMultilevel"/>
    <w:tmpl w:val="B2F02A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7DAB5601"/>
    <w:multiLevelType w:val="hybridMultilevel"/>
    <w:tmpl w:val="E04C820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F885D15"/>
    <w:multiLevelType w:val="hybridMultilevel"/>
    <w:tmpl w:val="D7FEC4B0"/>
    <w:lvl w:ilvl="0" w:tplc="1A0A3398">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546721595">
    <w:abstractNumId w:val="0"/>
  </w:num>
  <w:num w:numId="2" w16cid:durableId="275409878">
    <w:abstractNumId w:val="20"/>
  </w:num>
  <w:num w:numId="3" w16cid:durableId="1767724012">
    <w:abstractNumId w:val="4"/>
  </w:num>
  <w:num w:numId="4" w16cid:durableId="1943298028">
    <w:abstractNumId w:val="11"/>
  </w:num>
  <w:num w:numId="5" w16cid:durableId="1015613580">
    <w:abstractNumId w:val="8"/>
  </w:num>
  <w:num w:numId="6" w16cid:durableId="1553544278">
    <w:abstractNumId w:val="3"/>
  </w:num>
  <w:num w:numId="7" w16cid:durableId="1648313460">
    <w:abstractNumId w:val="10"/>
  </w:num>
  <w:num w:numId="8" w16cid:durableId="1679238106">
    <w:abstractNumId w:val="16"/>
  </w:num>
  <w:num w:numId="9" w16cid:durableId="392126324">
    <w:abstractNumId w:val="14"/>
  </w:num>
  <w:num w:numId="10" w16cid:durableId="111897670">
    <w:abstractNumId w:val="2"/>
  </w:num>
  <w:num w:numId="11" w16cid:durableId="1358579313">
    <w:abstractNumId w:val="6"/>
  </w:num>
  <w:num w:numId="12" w16cid:durableId="955915112">
    <w:abstractNumId w:val="5"/>
  </w:num>
  <w:num w:numId="13" w16cid:durableId="1760444684">
    <w:abstractNumId w:val="18"/>
  </w:num>
  <w:num w:numId="14" w16cid:durableId="670525971">
    <w:abstractNumId w:val="12"/>
  </w:num>
  <w:num w:numId="15" w16cid:durableId="1056079474">
    <w:abstractNumId w:val="17"/>
  </w:num>
  <w:num w:numId="16" w16cid:durableId="933395097">
    <w:abstractNumId w:val="1"/>
  </w:num>
  <w:num w:numId="17" w16cid:durableId="1973097873">
    <w:abstractNumId w:val="24"/>
  </w:num>
  <w:num w:numId="18" w16cid:durableId="1045716510">
    <w:abstractNumId w:val="22"/>
  </w:num>
  <w:num w:numId="19" w16cid:durableId="919676335">
    <w:abstractNumId w:val="7"/>
  </w:num>
  <w:num w:numId="20" w16cid:durableId="885143190">
    <w:abstractNumId w:val="15"/>
  </w:num>
  <w:num w:numId="21" w16cid:durableId="918098677">
    <w:abstractNumId w:val="23"/>
  </w:num>
  <w:num w:numId="22" w16cid:durableId="25375781">
    <w:abstractNumId w:val="13"/>
  </w:num>
  <w:num w:numId="23" w16cid:durableId="307978057">
    <w:abstractNumId w:val="21"/>
  </w:num>
  <w:num w:numId="24" w16cid:durableId="443381425">
    <w:abstractNumId w:val="19"/>
  </w:num>
  <w:num w:numId="25" w16cid:durableId="20944691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1198"/>
    <w:rsid w:val="0000278B"/>
    <w:rsid w:val="000039D8"/>
    <w:rsid w:val="000064B2"/>
    <w:rsid w:val="000064E3"/>
    <w:rsid w:val="00011F20"/>
    <w:rsid w:val="00011F55"/>
    <w:rsid w:val="00013BFD"/>
    <w:rsid w:val="0002346D"/>
    <w:rsid w:val="000302E1"/>
    <w:rsid w:val="0003170A"/>
    <w:rsid w:val="00036723"/>
    <w:rsid w:val="00050694"/>
    <w:rsid w:val="000555D7"/>
    <w:rsid w:val="000614D6"/>
    <w:rsid w:val="0006713A"/>
    <w:rsid w:val="00082C40"/>
    <w:rsid w:val="00086431"/>
    <w:rsid w:val="0009167C"/>
    <w:rsid w:val="000A0A30"/>
    <w:rsid w:val="000A0FA6"/>
    <w:rsid w:val="000A300A"/>
    <w:rsid w:val="000B58AF"/>
    <w:rsid w:val="000C3CB4"/>
    <w:rsid w:val="000D5C05"/>
    <w:rsid w:val="000D5E4E"/>
    <w:rsid w:val="000D7D13"/>
    <w:rsid w:val="000E2F9E"/>
    <w:rsid w:val="000E4E45"/>
    <w:rsid w:val="000F41BD"/>
    <w:rsid w:val="000F621E"/>
    <w:rsid w:val="001103D7"/>
    <w:rsid w:val="00111C97"/>
    <w:rsid w:val="00111EF0"/>
    <w:rsid w:val="001225EF"/>
    <w:rsid w:val="00147C69"/>
    <w:rsid w:val="0015473F"/>
    <w:rsid w:val="001571E4"/>
    <w:rsid w:val="00161C5A"/>
    <w:rsid w:val="001662D8"/>
    <w:rsid w:val="001719F3"/>
    <w:rsid w:val="00174190"/>
    <w:rsid w:val="00174710"/>
    <w:rsid w:val="00175B5E"/>
    <w:rsid w:val="0018354E"/>
    <w:rsid w:val="00187A84"/>
    <w:rsid w:val="00193D68"/>
    <w:rsid w:val="001A0215"/>
    <w:rsid w:val="001A1A20"/>
    <w:rsid w:val="001A3769"/>
    <w:rsid w:val="001A491A"/>
    <w:rsid w:val="001B077A"/>
    <w:rsid w:val="001B0A7F"/>
    <w:rsid w:val="001B41B2"/>
    <w:rsid w:val="001B4C63"/>
    <w:rsid w:val="001C0F8C"/>
    <w:rsid w:val="001C731A"/>
    <w:rsid w:val="001C7693"/>
    <w:rsid w:val="001D125C"/>
    <w:rsid w:val="001D49B2"/>
    <w:rsid w:val="001E0679"/>
    <w:rsid w:val="001E2C2A"/>
    <w:rsid w:val="001E2DDA"/>
    <w:rsid w:val="001E4475"/>
    <w:rsid w:val="001F174E"/>
    <w:rsid w:val="001F223F"/>
    <w:rsid w:val="001F30F5"/>
    <w:rsid w:val="001F7EC4"/>
    <w:rsid w:val="00204E47"/>
    <w:rsid w:val="002058A1"/>
    <w:rsid w:val="00206801"/>
    <w:rsid w:val="00206F61"/>
    <w:rsid w:val="002220C5"/>
    <w:rsid w:val="00222AA7"/>
    <w:rsid w:val="00224EB7"/>
    <w:rsid w:val="00231D42"/>
    <w:rsid w:val="00244A34"/>
    <w:rsid w:val="002458D5"/>
    <w:rsid w:val="00255228"/>
    <w:rsid w:val="0026030D"/>
    <w:rsid w:val="00260E02"/>
    <w:rsid w:val="00261179"/>
    <w:rsid w:val="00262167"/>
    <w:rsid w:val="0028159D"/>
    <w:rsid w:val="00285E65"/>
    <w:rsid w:val="00293AB4"/>
    <w:rsid w:val="002945C9"/>
    <w:rsid w:val="0029537E"/>
    <w:rsid w:val="0029585B"/>
    <w:rsid w:val="00297358"/>
    <w:rsid w:val="002A104A"/>
    <w:rsid w:val="002A25C4"/>
    <w:rsid w:val="002B7D5A"/>
    <w:rsid w:val="002C153A"/>
    <w:rsid w:val="002D3F6B"/>
    <w:rsid w:val="002E1358"/>
    <w:rsid w:val="002F138C"/>
    <w:rsid w:val="002F30DB"/>
    <w:rsid w:val="002F5701"/>
    <w:rsid w:val="00301912"/>
    <w:rsid w:val="003033B2"/>
    <w:rsid w:val="00306490"/>
    <w:rsid w:val="00306A9C"/>
    <w:rsid w:val="00313A32"/>
    <w:rsid w:val="003141BF"/>
    <w:rsid w:val="00317DCF"/>
    <w:rsid w:val="00330D6B"/>
    <w:rsid w:val="00337718"/>
    <w:rsid w:val="00340C38"/>
    <w:rsid w:val="003426E5"/>
    <w:rsid w:val="0034392B"/>
    <w:rsid w:val="0034397D"/>
    <w:rsid w:val="00345610"/>
    <w:rsid w:val="00351ECB"/>
    <w:rsid w:val="00370C48"/>
    <w:rsid w:val="00377602"/>
    <w:rsid w:val="00396795"/>
    <w:rsid w:val="003B1F89"/>
    <w:rsid w:val="003B5DB6"/>
    <w:rsid w:val="003B6557"/>
    <w:rsid w:val="003B74DC"/>
    <w:rsid w:val="003C4646"/>
    <w:rsid w:val="003C75D4"/>
    <w:rsid w:val="003E0A5D"/>
    <w:rsid w:val="003E0FC6"/>
    <w:rsid w:val="003E242F"/>
    <w:rsid w:val="003F351E"/>
    <w:rsid w:val="00405D99"/>
    <w:rsid w:val="0040657F"/>
    <w:rsid w:val="004257DC"/>
    <w:rsid w:val="00425E10"/>
    <w:rsid w:val="00430B79"/>
    <w:rsid w:val="0043554D"/>
    <w:rsid w:val="00447B36"/>
    <w:rsid w:val="00450E13"/>
    <w:rsid w:val="00452B92"/>
    <w:rsid w:val="0045676F"/>
    <w:rsid w:val="00473910"/>
    <w:rsid w:val="004753BD"/>
    <w:rsid w:val="00482B11"/>
    <w:rsid w:val="004A3535"/>
    <w:rsid w:val="004B0CBF"/>
    <w:rsid w:val="004B608C"/>
    <w:rsid w:val="004C112F"/>
    <w:rsid w:val="004C2077"/>
    <w:rsid w:val="004C50EF"/>
    <w:rsid w:val="004D3A46"/>
    <w:rsid w:val="004D51F8"/>
    <w:rsid w:val="004E0749"/>
    <w:rsid w:val="004E091E"/>
    <w:rsid w:val="004E494B"/>
    <w:rsid w:val="004F0D5B"/>
    <w:rsid w:val="004F3A66"/>
    <w:rsid w:val="004F4FE2"/>
    <w:rsid w:val="004F5E86"/>
    <w:rsid w:val="00500E74"/>
    <w:rsid w:val="00502246"/>
    <w:rsid w:val="005037A8"/>
    <w:rsid w:val="00510170"/>
    <w:rsid w:val="00521A04"/>
    <w:rsid w:val="005241F1"/>
    <w:rsid w:val="00530315"/>
    <w:rsid w:val="00535331"/>
    <w:rsid w:val="00536389"/>
    <w:rsid w:val="005369E4"/>
    <w:rsid w:val="0054091E"/>
    <w:rsid w:val="00551606"/>
    <w:rsid w:val="0055252B"/>
    <w:rsid w:val="00553F18"/>
    <w:rsid w:val="00556319"/>
    <w:rsid w:val="00570D79"/>
    <w:rsid w:val="005723AC"/>
    <w:rsid w:val="00573864"/>
    <w:rsid w:val="005744E7"/>
    <w:rsid w:val="00574CA0"/>
    <w:rsid w:val="00581415"/>
    <w:rsid w:val="0058550D"/>
    <w:rsid w:val="00587D79"/>
    <w:rsid w:val="00597DEA"/>
    <w:rsid w:val="005A211D"/>
    <w:rsid w:val="005A2756"/>
    <w:rsid w:val="005A3F58"/>
    <w:rsid w:val="005C1E02"/>
    <w:rsid w:val="005C5328"/>
    <w:rsid w:val="005D13B9"/>
    <w:rsid w:val="005D1799"/>
    <w:rsid w:val="005D2D7B"/>
    <w:rsid w:val="005E2D75"/>
    <w:rsid w:val="005E39AA"/>
    <w:rsid w:val="005F27E7"/>
    <w:rsid w:val="005F31F6"/>
    <w:rsid w:val="0060222E"/>
    <w:rsid w:val="00622B5B"/>
    <w:rsid w:val="0062350B"/>
    <w:rsid w:val="00624EC1"/>
    <w:rsid w:val="00625638"/>
    <w:rsid w:val="0062592A"/>
    <w:rsid w:val="00631C6A"/>
    <w:rsid w:val="006325C3"/>
    <w:rsid w:val="006329A6"/>
    <w:rsid w:val="00637B16"/>
    <w:rsid w:val="006453A7"/>
    <w:rsid w:val="0064675A"/>
    <w:rsid w:val="00646BC3"/>
    <w:rsid w:val="006479F6"/>
    <w:rsid w:val="00650858"/>
    <w:rsid w:val="00653D1E"/>
    <w:rsid w:val="00662369"/>
    <w:rsid w:val="0066546B"/>
    <w:rsid w:val="0066568F"/>
    <w:rsid w:val="006661D8"/>
    <w:rsid w:val="00676F8D"/>
    <w:rsid w:val="006824D3"/>
    <w:rsid w:val="00692DB5"/>
    <w:rsid w:val="006A0309"/>
    <w:rsid w:val="006A06EF"/>
    <w:rsid w:val="006B1C2F"/>
    <w:rsid w:val="006B28A3"/>
    <w:rsid w:val="006B44E0"/>
    <w:rsid w:val="006C1356"/>
    <w:rsid w:val="006C1D90"/>
    <w:rsid w:val="006C7E3D"/>
    <w:rsid w:val="006D0832"/>
    <w:rsid w:val="006D560F"/>
    <w:rsid w:val="006D65BB"/>
    <w:rsid w:val="006E1F38"/>
    <w:rsid w:val="006F3C25"/>
    <w:rsid w:val="00710D8F"/>
    <w:rsid w:val="00714399"/>
    <w:rsid w:val="007143A7"/>
    <w:rsid w:val="00715B0F"/>
    <w:rsid w:val="00721FB8"/>
    <w:rsid w:val="00736414"/>
    <w:rsid w:val="00737E6E"/>
    <w:rsid w:val="00740158"/>
    <w:rsid w:val="007426CB"/>
    <w:rsid w:val="00746E73"/>
    <w:rsid w:val="007507EC"/>
    <w:rsid w:val="007549FB"/>
    <w:rsid w:val="00766137"/>
    <w:rsid w:val="007749DB"/>
    <w:rsid w:val="00796E47"/>
    <w:rsid w:val="007978FD"/>
    <w:rsid w:val="007A2930"/>
    <w:rsid w:val="007A4029"/>
    <w:rsid w:val="007A57F0"/>
    <w:rsid w:val="007B1AD3"/>
    <w:rsid w:val="007B4EC5"/>
    <w:rsid w:val="007C0B8D"/>
    <w:rsid w:val="007C2235"/>
    <w:rsid w:val="007C3EF5"/>
    <w:rsid w:val="007C5C71"/>
    <w:rsid w:val="007D1244"/>
    <w:rsid w:val="007D3A4F"/>
    <w:rsid w:val="007D3FCD"/>
    <w:rsid w:val="007D5A37"/>
    <w:rsid w:val="007D7F38"/>
    <w:rsid w:val="007E37C3"/>
    <w:rsid w:val="007F3116"/>
    <w:rsid w:val="007F33B7"/>
    <w:rsid w:val="00811EC2"/>
    <w:rsid w:val="00820FDA"/>
    <w:rsid w:val="00830B2A"/>
    <w:rsid w:val="00832871"/>
    <w:rsid w:val="00836507"/>
    <w:rsid w:val="008567FE"/>
    <w:rsid w:val="00856E11"/>
    <w:rsid w:val="00857A80"/>
    <w:rsid w:val="00857C74"/>
    <w:rsid w:val="00875BB0"/>
    <w:rsid w:val="00876A2E"/>
    <w:rsid w:val="008839D9"/>
    <w:rsid w:val="00884D4B"/>
    <w:rsid w:val="008966AD"/>
    <w:rsid w:val="008A7E9A"/>
    <w:rsid w:val="008B10B9"/>
    <w:rsid w:val="008B38EF"/>
    <w:rsid w:val="008C36A9"/>
    <w:rsid w:val="008E13B7"/>
    <w:rsid w:val="008E7878"/>
    <w:rsid w:val="008F562A"/>
    <w:rsid w:val="008F59CF"/>
    <w:rsid w:val="0091317F"/>
    <w:rsid w:val="00917D12"/>
    <w:rsid w:val="009213DF"/>
    <w:rsid w:val="00927AB9"/>
    <w:rsid w:val="009336FF"/>
    <w:rsid w:val="009451EB"/>
    <w:rsid w:val="00950257"/>
    <w:rsid w:val="00952D3A"/>
    <w:rsid w:val="009556DC"/>
    <w:rsid w:val="00955D73"/>
    <w:rsid w:val="00960B94"/>
    <w:rsid w:val="0096675E"/>
    <w:rsid w:val="00970A57"/>
    <w:rsid w:val="00972341"/>
    <w:rsid w:val="00982CB1"/>
    <w:rsid w:val="00982E2E"/>
    <w:rsid w:val="00982FC0"/>
    <w:rsid w:val="009838AA"/>
    <w:rsid w:val="00987216"/>
    <w:rsid w:val="00991CCF"/>
    <w:rsid w:val="00995293"/>
    <w:rsid w:val="009A4569"/>
    <w:rsid w:val="009A5ED1"/>
    <w:rsid w:val="009A6F8B"/>
    <w:rsid w:val="009A72E2"/>
    <w:rsid w:val="009B4EB5"/>
    <w:rsid w:val="009C5CCA"/>
    <w:rsid w:val="009D5B55"/>
    <w:rsid w:val="009E2F7A"/>
    <w:rsid w:val="009E4326"/>
    <w:rsid w:val="009E6A2E"/>
    <w:rsid w:val="009E6F0C"/>
    <w:rsid w:val="009F01DE"/>
    <w:rsid w:val="009F3BB0"/>
    <w:rsid w:val="00A143F7"/>
    <w:rsid w:val="00A16C37"/>
    <w:rsid w:val="00A20395"/>
    <w:rsid w:val="00A22F0B"/>
    <w:rsid w:val="00A32BD1"/>
    <w:rsid w:val="00A32D49"/>
    <w:rsid w:val="00A36B44"/>
    <w:rsid w:val="00A41619"/>
    <w:rsid w:val="00A5199E"/>
    <w:rsid w:val="00A56BFF"/>
    <w:rsid w:val="00A63BDC"/>
    <w:rsid w:val="00A75103"/>
    <w:rsid w:val="00A8776E"/>
    <w:rsid w:val="00A87AF8"/>
    <w:rsid w:val="00AB08B4"/>
    <w:rsid w:val="00AB09AD"/>
    <w:rsid w:val="00AB52FD"/>
    <w:rsid w:val="00AB63F6"/>
    <w:rsid w:val="00AC2742"/>
    <w:rsid w:val="00AC4089"/>
    <w:rsid w:val="00AC51F6"/>
    <w:rsid w:val="00AC6103"/>
    <w:rsid w:val="00AC72E1"/>
    <w:rsid w:val="00AD035B"/>
    <w:rsid w:val="00AD0A11"/>
    <w:rsid w:val="00AD489D"/>
    <w:rsid w:val="00AE1095"/>
    <w:rsid w:val="00AE300F"/>
    <w:rsid w:val="00AF1488"/>
    <w:rsid w:val="00AF1CF6"/>
    <w:rsid w:val="00B067CE"/>
    <w:rsid w:val="00B12257"/>
    <w:rsid w:val="00B13034"/>
    <w:rsid w:val="00B1636A"/>
    <w:rsid w:val="00B1761F"/>
    <w:rsid w:val="00B22709"/>
    <w:rsid w:val="00B23ADE"/>
    <w:rsid w:val="00B361B1"/>
    <w:rsid w:val="00B42E71"/>
    <w:rsid w:val="00B46DF4"/>
    <w:rsid w:val="00B4707A"/>
    <w:rsid w:val="00B531E2"/>
    <w:rsid w:val="00B5513D"/>
    <w:rsid w:val="00B71C5D"/>
    <w:rsid w:val="00B7246C"/>
    <w:rsid w:val="00B73686"/>
    <w:rsid w:val="00B74CF7"/>
    <w:rsid w:val="00B766B7"/>
    <w:rsid w:val="00B83EBD"/>
    <w:rsid w:val="00B85170"/>
    <w:rsid w:val="00B86424"/>
    <w:rsid w:val="00B913F6"/>
    <w:rsid w:val="00BA084A"/>
    <w:rsid w:val="00BD5170"/>
    <w:rsid w:val="00BE5623"/>
    <w:rsid w:val="00BE7E2B"/>
    <w:rsid w:val="00BF6A3E"/>
    <w:rsid w:val="00C03B0C"/>
    <w:rsid w:val="00C13115"/>
    <w:rsid w:val="00C15C06"/>
    <w:rsid w:val="00C25FEF"/>
    <w:rsid w:val="00C3123D"/>
    <w:rsid w:val="00C31459"/>
    <w:rsid w:val="00C34A50"/>
    <w:rsid w:val="00C37AA6"/>
    <w:rsid w:val="00C4170F"/>
    <w:rsid w:val="00C448C5"/>
    <w:rsid w:val="00C51C1C"/>
    <w:rsid w:val="00C521C7"/>
    <w:rsid w:val="00C67709"/>
    <w:rsid w:val="00C8018B"/>
    <w:rsid w:val="00C80AFC"/>
    <w:rsid w:val="00C87981"/>
    <w:rsid w:val="00C90C72"/>
    <w:rsid w:val="00C96645"/>
    <w:rsid w:val="00CA2BDE"/>
    <w:rsid w:val="00CA2BFA"/>
    <w:rsid w:val="00CA380F"/>
    <w:rsid w:val="00CA656C"/>
    <w:rsid w:val="00CB0575"/>
    <w:rsid w:val="00CB063E"/>
    <w:rsid w:val="00CB15F1"/>
    <w:rsid w:val="00CB5FA6"/>
    <w:rsid w:val="00CC04C5"/>
    <w:rsid w:val="00CC7DE7"/>
    <w:rsid w:val="00CD11F6"/>
    <w:rsid w:val="00CD2E5A"/>
    <w:rsid w:val="00CE2FE1"/>
    <w:rsid w:val="00CF46D3"/>
    <w:rsid w:val="00D01F79"/>
    <w:rsid w:val="00D0332A"/>
    <w:rsid w:val="00D0461C"/>
    <w:rsid w:val="00D20537"/>
    <w:rsid w:val="00D23EBD"/>
    <w:rsid w:val="00D24D6B"/>
    <w:rsid w:val="00D27614"/>
    <w:rsid w:val="00D32F8A"/>
    <w:rsid w:val="00D4127B"/>
    <w:rsid w:val="00D54A69"/>
    <w:rsid w:val="00D54E03"/>
    <w:rsid w:val="00D65A08"/>
    <w:rsid w:val="00D67FE9"/>
    <w:rsid w:val="00D73A70"/>
    <w:rsid w:val="00D74179"/>
    <w:rsid w:val="00D76FEA"/>
    <w:rsid w:val="00D82E75"/>
    <w:rsid w:val="00D87D75"/>
    <w:rsid w:val="00D92C7D"/>
    <w:rsid w:val="00D96AD6"/>
    <w:rsid w:val="00DA410A"/>
    <w:rsid w:val="00DB0276"/>
    <w:rsid w:val="00DB0583"/>
    <w:rsid w:val="00DC1503"/>
    <w:rsid w:val="00DC3E17"/>
    <w:rsid w:val="00DD1171"/>
    <w:rsid w:val="00DD5911"/>
    <w:rsid w:val="00DE5F30"/>
    <w:rsid w:val="00E012EE"/>
    <w:rsid w:val="00E1569C"/>
    <w:rsid w:val="00E17C4C"/>
    <w:rsid w:val="00E26B41"/>
    <w:rsid w:val="00E2707C"/>
    <w:rsid w:val="00E36238"/>
    <w:rsid w:val="00E54273"/>
    <w:rsid w:val="00E54442"/>
    <w:rsid w:val="00E63CB3"/>
    <w:rsid w:val="00E66F95"/>
    <w:rsid w:val="00E67AC1"/>
    <w:rsid w:val="00E709C6"/>
    <w:rsid w:val="00E757BC"/>
    <w:rsid w:val="00E8102B"/>
    <w:rsid w:val="00E82E60"/>
    <w:rsid w:val="00E83314"/>
    <w:rsid w:val="00E84DC5"/>
    <w:rsid w:val="00E87858"/>
    <w:rsid w:val="00E93507"/>
    <w:rsid w:val="00E97D05"/>
    <w:rsid w:val="00EA4BE8"/>
    <w:rsid w:val="00EB635D"/>
    <w:rsid w:val="00EB7669"/>
    <w:rsid w:val="00EE2BC8"/>
    <w:rsid w:val="00EF0148"/>
    <w:rsid w:val="00EF0DE0"/>
    <w:rsid w:val="00EF567D"/>
    <w:rsid w:val="00EF7AD6"/>
    <w:rsid w:val="00F13DBD"/>
    <w:rsid w:val="00F20987"/>
    <w:rsid w:val="00F25667"/>
    <w:rsid w:val="00F35EF2"/>
    <w:rsid w:val="00F4505D"/>
    <w:rsid w:val="00F514E9"/>
    <w:rsid w:val="00F52D37"/>
    <w:rsid w:val="00F5307C"/>
    <w:rsid w:val="00F57DD9"/>
    <w:rsid w:val="00F63605"/>
    <w:rsid w:val="00F64FDE"/>
    <w:rsid w:val="00F73911"/>
    <w:rsid w:val="00F80305"/>
    <w:rsid w:val="00F938D6"/>
    <w:rsid w:val="00FA23B8"/>
    <w:rsid w:val="00FA52F6"/>
    <w:rsid w:val="00FB5688"/>
    <w:rsid w:val="00FB5903"/>
    <w:rsid w:val="00FC49E5"/>
    <w:rsid w:val="00FC6AC9"/>
    <w:rsid w:val="00FC73BD"/>
    <w:rsid w:val="00FD351E"/>
    <w:rsid w:val="00FE04B9"/>
    <w:rsid w:val="00FE3BB0"/>
    <w:rsid w:val="00FF02F1"/>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57262">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910462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atflow.it/" TargetMode="External"/><Relationship Id="rId18" Type="http://schemas.openxmlformats.org/officeDocument/2006/relationships/hyperlink" Target="mailto:xpeng@anicecommunication.com" TargetMode="External"/><Relationship Id="rId3" Type="http://schemas.openxmlformats.org/officeDocument/2006/relationships/customXml" Target="../customXml/item3.xml"/><Relationship Id="rId21" Type="http://schemas.openxmlformats.org/officeDocument/2006/relationships/hyperlink" Target="mailto:paola.maina@anicecommunication.com" TargetMode="External"/><Relationship Id="rId7" Type="http://schemas.openxmlformats.org/officeDocument/2006/relationships/styles" Target="styles.xml"/><Relationship Id="rId12" Type="http://schemas.openxmlformats.org/officeDocument/2006/relationships/hyperlink" Target="https://www.xpeng.com/"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mailto:roberto.beltramolli@anicecommunication.co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ww.anicecommunication.com/it/category/press_room/xpen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xpengitalia.it/"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8be331e7-fb7c-40bb-9caa-c8e1022a5372"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2EB675CCCA3E864181CF9BEA82AAB5BC" ma:contentTypeVersion="12" ma:contentTypeDescription="Create a new document." ma:contentTypeScope="" ma:versionID="e73bb7205cc8e184933759232c3d81d4">
  <xsd:schema xmlns:xsd="http://www.w3.org/2001/XMLSchema" xmlns:xs="http://www.w3.org/2001/XMLSchema" xmlns:p="http://schemas.microsoft.com/office/2006/metadata/properties" xmlns:ns3="8be331e7-fb7c-40bb-9caa-c8e1022a5372" targetNamespace="http://schemas.microsoft.com/office/2006/metadata/properties" ma:root="true" ma:fieldsID="a7cd9dc1868b7cc92fb99335d6d9af29" ns3:_="">
    <xsd:import namespace="8be331e7-fb7c-40bb-9caa-c8e1022a5372"/>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_activity" minOccurs="0"/>
                <xsd:element ref="ns3:MediaLengthInSeconds"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e331e7-fb7c-40bb-9caa-c8e1022a5372"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2B2DC9-0816-4E13-8EFD-1D8FCC82595E}">
  <ds:schemaRefs>
    <ds:schemaRef ds:uri="http://schemas.microsoft.com/sharepoint/v3/contenttype/forms"/>
  </ds:schemaRefs>
</ds:datastoreItem>
</file>

<file path=customXml/itemProps2.xml><?xml version="1.0" encoding="utf-8"?>
<ds:datastoreItem xmlns:ds="http://schemas.openxmlformats.org/officeDocument/2006/customXml" ds:itemID="{4AB30EED-3859-4B12-A31C-148554E587F6}">
  <ds:schemaRefs>
    <ds:schemaRef ds:uri="http://schemas.microsoft.com/office/2006/metadata/properties"/>
    <ds:schemaRef ds:uri="http://schemas.microsoft.com/office/infopath/2007/PartnerControls"/>
    <ds:schemaRef ds:uri="8be331e7-fb7c-40bb-9caa-c8e1022a5372"/>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customXml/itemProps5.xml><?xml version="1.0" encoding="utf-8"?>
<ds:datastoreItem xmlns:ds="http://schemas.openxmlformats.org/officeDocument/2006/customXml" ds:itemID="{A6DCF05A-0E3C-4A8B-BF14-66DF392F1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e331e7-fb7c-40bb-9caa-c8e1022a5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3</Pages>
  <Words>1165</Words>
  <Characters>6641</Characters>
  <Application>Microsoft Office Word</Application>
  <DocSecurity>0</DocSecurity>
  <Lines>55</Lines>
  <Paragraphs>15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Beltramolli - Anice PR Agency</dc:creator>
  <cp:lastModifiedBy>Patrizia Tontini</cp:lastModifiedBy>
  <cp:revision>16</cp:revision>
  <cp:lastPrinted>2025-04-08T16:55:00Z</cp:lastPrinted>
  <dcterms:created xsi:type="dcterms:W3CDTF">2026-01-02T11:45:00Z</dcterms:created>
  <dcterms:modified xsi:type="dcterms:W3CDTF">2026-04-20T07:21:00Z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0x0101002EB675CCCA3E864181CF9BEA82AAB5BC</vt:lpwstr>
  </property>
</Properties>
</file>